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C6E00" w14:textId="6CF80F15" w:rsidR="006F5C6C" w:rsidRPr="00275F3F" w:rsidRDefault="006F5C6C" w:rsidP="00275F3F">
      <w:pPr>
        <w:jc w:val="center"/>
        <w:rPr>
          <w:b/>
          <w:shd w:val="clear" w:color="auto" w:fill="FFFFFF"/>
        </w:rPr>
      </w:pPr>
      <w:r w:rsidRPr="00275F3F">
        <w:rPr>
          <w:b/>
          <w:shd w:val="clear" w:color="auto" w:fill="FFFFFF"/>
        </w:rPr>
        <w:t>Call for Papers for</w:t>
      </w:r>
    </w:p>
    <w:p w14:paraId="70A87A30" w14:textId="77777777" w:rsidR="00BE17E7" w:rsidRDefault="00BE17E7" w:rsidP="00BE17E7">
      <w:pPr>
        <w:jc w:val="center"/>
        <w:rPr>
          <w:rFonts w:eastAsia="Times New Roman" w:cs="Times New Roman"/>
          <w:b/>
          <w:sz w:val="28"/>
          <w:szCs w:val="28"/>
          <w:shd w:val="clear" w:color="auto" w:fill="FFFFFF"/>
        </w:rPr>
      </w:pPr>
      <w:r w:rsidRPr="009E6F7A">
        <w:rPr>
          <w:rFonts w:eastAsia="Times New Roman" w:cs="Times New Roman"/>
          <w:b/>
          <w:sz w:val="28"/>
          <w:szCs w:val="28"/>
          <w:shd w:val="clear" w:color="auto" w:fill="FFFFFF"/>
        </w:rPr>
        <w:t>Memory and Transitional Justice</w:t>
      </w:r>
      <w:r>
        <w:rPr>
          <w:rFonts w:eastAsia="Times New Roman" w:cs="Times New Roman"/>
          <w:b/>
          <w:sz w:val="28"/>
          <w:szCs w:val="28"/>
          <w:shd w:val="clear" w:color="auto" w:fill="FFFFFF"/>
        </w:rPr>
        <w:t xml:space="preserve">: </w:t>
      </w:r>
    </w:p>
    <w:p w14:paraId="25BE3758" w14:textId="77777777" w:rsidR="00BE17E7" w:rsidRDefault="00BE17E7" w:rsidP="00BE17E7">
      <w:pPr>
        <w:jc w:val="center"/>
        <w:rPr>
          <w:rFonts w:eastAsia="Times New Roman" w:cs="Times New Roman"/>
          <w:b/>
          <w:sz w:val="28"/>
          <w:szCs w:val="28"/>
          <w:shd w:val="clear" w:color="auto" w:fill="FFFFFF"/>
        </w:rPr>
      </w:pPr>
      <w:r>
        <w:rPr>
          <w:rFonts w:eastAsia="Times New Roman" w:cs="Times New Roman"/>
          <w:b/>
          <w:sz w:val="28"/>
          <w:szCs w:val="28"/>
          <w:shd w:val="clear" w:color="auto" w:fill="FFFFFF"/>
        </w:rPr>
        <w:t xml:space="preserve">From a “duty to remember” to pluralistic </w:t>
      </w:r>
      <w:proofErr w:type="spellStart"/>
      <w:r>
        <w:rPr>
          <w:rFonts w:eastAsia="Times New Roman" w:cs="Times New Roman"/>
          <w:b/>
          <w:sz w:val="28"/>
          <w:szCs w:val="28"/>
          <w:shd w:val="clear" w:color="auto" w:fill="FFFFFF"/>
        </w:rPr>
        <w:t>memoryscapes</w:t>
      </w:r>
      <w:proofErr w:type="spellEnd"/>
      <w:r>
        <w:rPr>
          <w:rFonts w:eastAsia="Times New Roman" w:cs="Times New Roman"/>
          <w:b/>
          <w:sz w:val="28"/>
          <w:szCs w:val="28"/>
          <w:shd w:val="clear" w:color="auto" w:fill="FFFFFF"/>
        </w:rPr>
        <w:t xml:space="preserve">? </w:t>
      </w:r>
    </w:p>
    <w:p w14:paraId="0B38DE40" w14:textId="26E49287" w:rsidR="00003B09" w:rsidRDefault="00003B09" w:rsidP="00BE17E7">
      <w:pPr>
        <w:jc w:val="center"/>
        <w:rPr>
          <w:rFonts w:eastAsia="Times New Roman" w:cs="Times New Roman"/>
          <w:b/>
          <w:sz w:val="28"/>
          <w:szCs w:val="28"/>
          <w:shd w:val="clear" w:color="auto" w:fill="FFFFFF"/>
        </w:rPr>
      </w:pPr>
      <w:r>
        <w:rPr>
          <w:rFonts w:eastAsia="Times New Roman" w:cs="Times New Roman"/>
          <w:b/>
          <w:sz w:val="28"/>
          <w:szCs w:val="28"/>
          <w:shd w:val="clear" w:color="auto" w:fill="FFFFFF"/>
        </w:rPr>
        <w:t xml:space="preserve">Sixth International </w:t>
      </w:r>
      <w:r w:rsidR="001C124F">
        <w:rPr>
          <w:rFonts w:eastAsia="Times New Roman" w:cs="Times New Roman"/>
          <w:b/>
          <w:sz w:val="28"/>
          <w:szCs w:val="28"/>
          <w:shd w:val="clear" w:color="auto" w:fill="FFFFFF"/>
        </w:rPr>
        <w:t xml:space="preserve">Expert </w:t>
      </w:r>
      <w:r w:rsidR="00BE17E7">
        <w:rPr>
          <w:rFonts w:eastAsia="Times New Roman" w:cs="Times New Roman"/>
          <w:b/>
          <w:sz w:val="28"/>
          <w:szCs w:val="28"/>
          <w:shd w:val="clear" w:color="auto" w:fill="FFFFFF"/>
        </w:rPr>
        <w:t>Seminar</w:t>
      </w:r>
      <w:r>
        <w:rPr>
          <w:rFonts w:eastAsia="Times New Roman" w:cs="Times New Roman"/>
          <w:b/>
          <w:sz w:val="28"/>
          <w:szCs w:val="28"/>
          <w:shd w:val="clear" w:color="auto" w:fill="FFFFFF"/>
        </w:rPr>
        <w:t xml:space="preserve"> on Transitional Justice</w:t>
      </w:r>
      <w:r w:rsidR="00BE17E7">
        <w:rPr>
          <w:rFonts w:eastAsia="Times New Roman" w:cs="Times New Roman"/>
          <w:b/>
          <w:sz w:val="28"/>
          <w:szCs w:val="28"/>
          <w:shd w:val="clear" w:color="auto" w:fill="FFFFFF"/>
        </w:rPr>
        <w:t xml:space="preserve"> </w:t>
      </w:r>
    </w:p>
    <w:p w14:paraId="0A646E83" w14:textId="067D2D20" w:rsidR="00BE17E7" w:rsidRPr="009E6F7A" w:rsidRDefault="006F5C6C" w:rsidP="00BE17E7">
      <w:pPr>
        <w:jc w:val="center"/>
        <w:rPr>
          <w:rFonts w:eastAsia="Times New Roman" w:cs="Times New Roman"/>
          <w:b/>
          <w:sz w:val="28"/>
          <w:szCs w:val="28"/>
          <w:shd w:val="clear" w:color="auto" w:fill="FFFFFF"/>
        </w:rPr>
      </w:pPr>
      <w:r>
        <w:rPr>
          <w:rFonts w:eastAsia="Times New Roman" w:cs="Times New Roman"/>
          <w:b/>
          <w:sz w:val="28"/>
          <w:szCs w:val="28"/>
          <w:shd w:val="clear" w:color="auto" w:fill="FFFFFF"/>
        </w:rPr>
        <w:t xml:space="preserve">KU </w:t>
      </w:r>
      <w:r w:rsidR="00BE17E7" w:rsidRPr="009E6F7A">
        <w:rPr>
          <w:rFonts w:eastAsia="Times New Roman" w:cs="Times New Roman"/>
          <w:b/>
          <w:sz w:val="28"/>
          <w:szCs w:val="28"/>
          <w:shd w:val="clear" w:color="auto" w:fill="FFFFFF"/>
        </w:rPr>
        <w:t>Leuven 25-26 October 2017</w:t>
      </w:r>
    </w:p>
    <w:p w14:paraId="0015CC9B" w14:textId="77777777" w:rsidR="00F217FE" w:rsidRDefault="00F217FE" w:rsidP="00245A39">
      <w:pPr>
        <w:rPr>
          <w:b/>
        </w:rPr>
      </w:pPr>
    </w:p>
    <w:p w14:paraId="73833494" w14:textId="77777777" w:rsidR="00245A39" w:rsidRPr="00245A39" w:rsidRDefault="00245A39" w:rsidP="00275F3F">
      <w:pPr>
        <w:jc w:val="both"/>
      </w:pPr>
      <w:r w:rsidRPr="00245A39">
        <w:t xml:space="preserve">There has been an observable urge to commemorate human rights violations and serious international crimes. This has been driven by a ‘duty’ to remember past injustices and a global demand for remembrance captured in imperatives such as ‘never again’. In line with these developments, non-judicial and symbolic forms of justice aiming at memorialisation and memory-making are gaining prominence as significant building blocks in the expansion of the field of Transitional Justice (TJ). </w:t>
      </w:r>
    </w:p>
    <w:p w14:paraId="0B8508AE" w14:textId="77777777" w:rsidR="00245A39" w:rsidRPr="00245A39" w:rsidRDefault="00245A39" w:rsidP="00275F3F">
      <w:pPr>
        <w:jc w:val="both"/>
      </w:pPr>
      <w:r w:rsidRPr="00245A39">
        <w:t xml:space="preserve">The mainstream TJ discourse concurs that memorialisation practices such as memorials, commemoration ceremonies, the renaming of schools or streets as much as history education will lead to reconciliation, democratisation and a ‘healing’ of society – and therefore contributes to justice-making through non-judicial measures of TJ. However, the mechanisms through which memory practices facilitate these positive outcomes of transitions remain elusive. </w:t>
      </w:r>
    </w:p>
    <w:p w14:paraId="09AAB8E1" w14:textId="77777777" w:rsidR="00245A39" w:rsidRPr="00245A39" w:rsidRDefault="00245A39" w:rsidP="00275F3F">
      <w:pPr>
        <w:jc w:val="both"/>
      </w:pPr>
      <w:r w:rsidRPr="00245A39">
        <w:t xml:space="preserve">Indeed, critical voices have raised various concerns about this simplistic perspective on memorialisation as a symbolic form of reparations. Such scholarship has argued that memory of past injustices can easily turn into a ‘symbolic minefield’, can perpetuate victim-perpetrator hierarchies, can be </w:t>
      </w:r>
      <w:proofErr w:type="spellStart"/>
      <w:r w:rsidRPr="00245A39">
        <w:t>instrumentalised</w:t>
      </w:r>
      <w:proofErr w:type="spellEnd"/>
      <w:r w:rsidRPr="00245A39">
        <w:t xml:space="preserve"> by memory entrepreneurs </w:t>
      </w:r>
      <w:proofErr w:type="gramStart"/>
      <w:r w:rsidRPr="00245A39">
        <w:t>in order to</w:t>
      </w:r>
      <w:proofErr w:type="gramEnd"/>
      <w:r w:rsidRPr="00245A39">
        <w:t xml:space="preserve"> legitimise certain agendas or be used by political elites to (re-) build state sovereignty on the back of the memory of human rights abuses.  </w:t>
      </w:r>
    </w:p>
    <w:p w14:paraId="6617847A" w14:textId="77777777" w:rsidR="00B574AE" w:rsidRDefault="00245A39" w:rsidP="00275F3F">
      <w:pPr>
        <w:jc w:val="both"/>
      </w:pPr>
      <w:r w:rsidRPr="00245A39">
        <w:t xml:space="preserve">Memorialisation as symbolic reparation is often a key site of contestation, which often determines processes of exclusion and inclusion of different groups of justice claimants and their various understandings of the past. The key problem therefore is to make narratives of the past ‘thick’ enough to capture the complexity of past injustices and at the same time to integrate different and often opposing versions of the past in order to make those accessible to a wide range of individuals and groups across an </w:t>
      </w:r>
      <w:proofErr w:type="gramStart"/>
      <w:r w:rsidRPr="00245A39">
        <w:t>often fractured</w:t>
      </w:r>
      <w:proofErr w:type="gramEnd"/>
      <w:r w:rsidRPr="00245A39">
        <w:t xml:space="preserve"> post-conflict/authoritarian society.</w:t>
      </w:r>
      <w:r w:rsidR="00FF25A2">
        <w:t xml:space="preserve"> </w:t>
      </w:r>
    </w:p>
    <w:p w14:paraId="75835605" w14:textId="69CC2B95" w:rsidR="00245A39" w:rsidRPr="00245A39" w:rsidRDefault="00B574AE" w:rsidP="00275F3F">
      <w:pPr>
        <w:jc w:val="both"/>
      </w:pPr>
      <w:r>
        <w:t xml:space="preserve">Against the backdrop of these current debates, this seminar </w:t>
      </w:r>
      <w:r w:rsidR="00F217FE">
        <w:t xml:space="preserve">focuses </w:t>
      </w:r>
      <w:r>
        <w:t xml:space="preserve">on memorialisation practices </w:t>
      </w:r>
      <w:r w:rsidR="00E92080">
        <w:t xml:space="preserve">and </w:t>
      </w:r>
      <w:r w:rsidR="003F777A">
        <w:t>their role in meditating</w:t>
      </w:r>
      <w:r w:rsidR="00BD0B19">
        <w:t xml:space="preserve"> </w:t>
      </w:r>
      <w:r w:rsidR="00961DD9">
        <w:t xml:space="preserve">the </w:t>
      </w:r>
      <w:r w:rsidR="007172CA">
        <w:t xml:space="preserve">manifold </w:t>
      </w:r>
      <w:r w:rsidR="00961DD9">
        <w:t xml:space="preserve">meanings </w:t>
      </w:r>
      <w:r w:rsidR="00C9403B">
        <w:t>narratives</w:t>
      </w:r>
      <w:r w:rsidR="00517F31">
        <w:t xml:space="preserve"> of the past</w:t>
      </w:r>
      <w:r w:rsidR="00590AD5">
        <w:t xml:space="preserve"> </w:t>
      </w:r>
      <w:r w:rsidR="007172CA">
        <w:t xml:space="preserve">can </w:t>
      </w:r>
      <w:r w:rsidR="00961DD9">
        <w:t xml:space="preserve">have </w:t>
      </w:r>
      <w:r w:rsidR="00590AD5">
        <w:t>for</w:t>
      </w:r>
      <w:r w:rsidR="00AD1FB6">
        <w:t xml:space="preserve"> present and future</w:t>
      </w:r>
      <w:r w:rsidR="00EF6118">
        <w:t xml:space="preserve"> </w:t>
      </w:r>
      <w:r w:rsidR="001D551B">
        <w:t xml:space="preserve">expectations </w:t>
      </w:r>
      <w:r w:rsidR="00EF6118">
        <w:t xml:space="preserve">in </w:t>
      </w:r>
      <w:r w:rsidR="00AD1FB6">
        <w:t>transitional justice</w:t>
      </w:r>
      <w:r w:rsidR="00157AFE">
        <w:t xml:space="preserve"> settings</w:t>
      </w:r>
      <w:r w:rsidR="00CC6ACD">
        <w:t>.</w:t>
      </w:r>
      <w:r w:rsidR="00136A68">
        <w:t xml:space="preserve"> </w:t>
      </w:r>
      <w:r w:rsidR="00FF25A2">
        <w:t xml:space="preserve"> </w:t>
      </w:r>
    </w:p>
    <w:p w14:paraId="5F86AB73" w14:textId="0A4C8FE8" w:rsidR="00912514" w:rsidRDefault="00206538" w:rsidP="00275F3F">
      <w:pPr>
        <w:jc w:val="both"/>
      </w:pPr>
      <w:r>
        <w:t xml:space="preserve">In addition to </w:t>
      </w:r>
      <w:r w:rsidR="00A210CF">
        <w:t xml:space="preserve">the contributions of </w:t>
      </w:r>
      <w:r>
        <w:t>two keynote speakers, t</w:t>
      </w:r>
      <w:r w:rsidR="00245A39" w:rsidRPr="00245A39">
        <w:t xml:space="preserve">he expert seminar will be structured around </w:t>
      </w:r>
      <w:r w:rsidR="00CD4FDE">
        <w:t>two panel</w:t>
      </w:r>
      <w:r w:rsidR="00D541F1">
        <w:t>s</w:t>
      </w:r>
      <w:r w:rsidR="00245A39" w:rsidRPr="00245A39">
        <w:t xml:space="preserve"> that each tackle different aspects of memory an</w:t>
      </w:r>
      <w:r w:rsidR="006D081D">
        <w:t>d transitional justice such as</w:t>
      </w:r>
      <w:r w:rsidR="00245A39" w:rsidRPr="00245A39">
        <w:t xml:space="preserve">, politics of memory and its entrepreneurs, the question if contested memories can be reconciled and whether there is a space of recognition for individual accounts of the past in the public sphere. </w:t>
      </w:r>
    </w:p>
    <w:p w14:paraId="2EC51343" w14:textId="5F570F67" w:rsidR="00912514" w:rsidRDefault="00912514" w:rsidP="00245A39"/>
    <w:p w14:paraId="04E59731" w14:textId="14128693" w:rsidR="00314304" w:rsidRPr="00A210CF" w:rsidRDefault="00314304" w:rsidP="00245A39">
      <w:pPr>
        <w:rPr>
          <w:b/>
        </w:rPr>
      </w:pPr>
      <w:r w:rsidRPr="00A210CF">
        <w:rPr>
          <w:b/>
        </w:rPr>
        <w:lastRenderedPageBreak/>
        <w:t xml:space="preserve">Issues of </w:t>
      </w:r>
      <w:proofErr w:type="gramStart"/>
      <w:r w:rsidR="008C2169" w:rsidRPr="00A210CF">
        <w:rPr>
          <w:b/>
        </w:rPr>
        <w:t xml:space="preserve">particular </w:t>
      </w:r>
      <w:r w:rsidRPr="00A210CF">
        <w:rPr>
          <w:b/>
        </w:rPr>
        <w:t>interest</w:t>
      </w:r>
      <w:proofErr w:type="gramEnd"/>
      <w:r w:rsidRPr="00A210CF">
        <w:rPr>
          <w:b/>
        </w:rPr>
        <w:t xml:space="preserve"> </w:t>
      </w:r>
      <w:r w:rsidR="00C165FE">
        <w:rPr>
          <w:b/>
        </w:rPr>
        <w:t xml:space="preserve">across the </w:t>
      </w:r>
      <w:r w:rsidR="002138CA">
        <w:rPr>
          <w:b/>
        </w:rPr>
        <w:t xml:space="preserve">seminar </w:t>
      </w:r>
      <w:r w:rsidR="00661730">
        <w:rPr>
          <w:b/>
        </w:rPr>
        <w:t xml:space="preserve">theme </w:t>
      </w:r>
      <w:r w:rsidR="00BE17E7">
        <w:rPr>
          <w:b/>
        </w:rPr>
        <w:t>are</w:t>
      </w:r>
      <w:r w:rsidR="00B22F06" w:rsidRPr="00A210CF">
        <w:rPr>
          <w:b/>
        </w:rPr>
        <w:t xml:space="preserve">: </w:t>
      </w:r>
    </w:p>
    <w:p w14:paraId="76E5EA78" w14:textId="3857CD5F" w:rsidR="00105B8A" w:rsidRPr="005672ED" w:rsidRDefault="00B22F06" w:rsidP="00275F3F">
      <w:pPr>
        <w:pStyle w:val="ListParagraph"/>
        <w:numPr>
          <w:ilvl w:val="0"/>
          <w:numId w:val="2"/>
        </w:numPr>
        <w:jc w:val="both"/>
        <w:rPr>
          <w:sz w:val="22"/>
        </w:rPr>
      </w:pPr>
      <w:r w:rsidRPr="005672ED">
        <w:rPr>
          <w:sz w:val="22"/>
        </w:rPr>
        <w:t xml:space="preserve">How do </w:t>
      </w:r>
      <w:proofErr w:type="gramStart"/>
      <w:r w:rsidR="002B19F8" w:rsidRPr="005672ED">
        <w:rPr>
          <w:sz w:val="22"/>
        </w:rPr>
        <w:t>particular</w:t>
      </w:r>
      <w:r w:rsidRPr="005672ED">
        <w:rPr>
          <w:sz w:val="22"/>
        </w:rPr>
        <w:t xml:space="preserve"> contours</w:t>
      </w:r>
      <w:proofErr w:type="gramEnd"/>
      <w:r w:rsidRPr="005672ED">
        <w:rPr>
          <w:sz w:val="22"/>
        </w:rPr>
        <w:t xml:space="preserve"> of violence (e.g. state violence, colonial violence, civil war, genocide) shape the emergence of different memory entrepreneurs and </w:t>
      </w:r>
      <w:r w:rsidR="00C165FE" w:rsidRPr="005672ED">
        <w:rPr>
          <w:sz w:val="22"/>
        </w:rPr>
        <w:t xml:space="preserve">in turn of different </w:t>
      </w:r>
      <w:proofErr w:type="spellStart"/>
      <w:r w:rsidRPr="005672ED">
        <w:rPr>
          <w:sz w:val="22"/>
        </w:rPr>
        <w:t>memoryscapes</w:t>
      </w:r>
      <w:proofErr w:type="spellEnd"/>
      <w:r w:rsidRPr="005672ED">
        <w:rPr>
          <w:sz w:val="22"/>
        </w:rPr>
        <w:t>?</w:t>
      </w:r>
      <w:r w:rsidR="00C165FE" w:rsidRPr="005672ED">
        <w:rPr>
          <w:sz w:val="22"/>
        </w:rPr>
        <w:t xml:space="preserve"> </w:t>
      </w:r>
    </w:p>
    <w:p w14:paraId="7ED3119E" w14:textId="1B6E76A1" w:rsidR="00C165FE" w:rsidRPr="005672ED" w:rsidRDefault="00C165FE" w:rsidP="00275F3F">
      <w:pPr>
        <w:pStyle w:val="ListParagraph"/>
        <w:numPr>
          <w:ilvl w:val="0"/>
          <w:numId w:val="2"/>
        </w:numPr>
        <w:jc w:val="both"/>
        <w:rPr>
          <w:sz w:val="22"/>
        </w:rPr>
      </w:pPr>
      <w:r w:rsidRPr="005672ED">
        <w:rPr>
          <w:sz w:val="22"/>
        </w:rPr>
        <w:t>Who is involved in memorialisation for what purpose?</w:t>
      </w:r>
    </w:p>
    <w:p w14:paraId="6D60FC38" w14:textId="25C16642" w:rsidR="00105B8A" w:rsidRPr="005672ED" w:rsidRDefault="00105B8A" w:rsidP="00275F3F">
      <w:pPr>
        <w:pStyle w:val="ListParagraph"/>
        <w:numPr>
          <w:ilvl w:val="0"/>
          <w:numId w:val="2"/>
        </w:numPr>
        <w:jc w:val="both"/>
        <w:rPr>
          <w:sz w:val="22"/>
        </w:rPr>
      </w:pPr>
      <w:r w:rsidRPr="005672ED">
        <w:rPr>
          <w:sz w:val="22"/>
        </w:rPr>
        <w:t xml:space="preserve">How can memorialisation </w:t>
      </w:r>
      <w:r w:rsidR="00EE60CF" w:rsidRPr="005672ED">
        <w:rPr>
          <w:sz w:val="22"/>
        </w:rPr>
        <w:t xml:space="preserve">practices </w:t>
      </w:r>
      <w:r w:rsidRPr="005672ED">
        <w:rPr>
          <w:sz w:val="22"/>
        </w:rPr>
        <w:t xml:space="preserve">accommodate, mediate and mitigate the tensions between different mnemonic communities? </w:t>
      </w:r>
    </w:p>
    <w:p w14:paraId="15CAAFFB" w14:textId="033ED5F0" w:rsidR="00624783" w:rsidRPr="005672ED" w:rsidRDefault="00624783" w:rsidP="00275F3F">
      <w:pPr>
        <w:pStyle w:val="ListParagraph"/>
        <w:numPr>
          <w:ilvl w:val="0"/>
          <w:numId w:val="2"/>
        </w:numPr>
        <w:jc w:val="both"/>
        <w:rPr>
          <w:sz w:val="22"/>
        </w:rPr>
      </w:pPr>
      <w:r w:rsidRPr="005672ED">
        <w:rPr>
          <w:sz w:val="22"/>
        </w:rPr>
        <w:t xml:space="preserve">How can memorialisation practices account for the dynamic and fluid nature of memory work and how does this play out in terms of the complexity of meanings allocated to the past across different groups? </w:t>
      </w:r>
    </w:p>
    <w:p w14:paraId="13F77BB9" w14:textId="077CB5F1" w:rsidR="006F5C6C" w:rsidRPr="005672ED" w:rsidRDefault="00C165FE" w:rsidP="00275F3F">
      <w:pPr>
        <w:pStyle w:val="ListParagraph"/>
        <w:numPr>
          <w:ilvl w:val="0"/>
          <w:numId w:val="2"/>
        </w:numPr>
        <w:jc w:val="both"/>
        <w:rPr>
          <w:sz w:val="22"/>
        </w:rPr>
      </w:pPr>
      <w:r w:rsidRPr="005672ED">
        <w:rPr>
          <w:sz w:val="22"/>
        </w:rPr>
        <w:t xml:space="preserve">Is remembrance always a good approach or could forgetting </w:t>
      </w:r>
      <w:proofErr w:type="gramStart"/>
      <w:r w:rsidRPr="005672ED">
        <w:rPr>
          <w:sz w:val="22"/>
        </w:rPr>
        <w:t>be</w:t>
      </w:r>
      <w:proofErr w:type="gramEnd"/>
      <w:r w:rsidRPr="005672ED">
        <w:rPr>
          <w:sz w:val="22"/>
        </w:rPr>
        <w:t xml:space="preserve"> a better avenue depending on the social and political context, the prevailing power struggles between, memory entrepreneurs and the timing of such interventions?</w:t>
      </w:r>
    </w:p>
    <w:p w14:paraId="6614AAC5" w14:textId="77777777" w:rsidR="00DA1918" w:rsidRPr="005672ED" w:rsidRDefault="00DA1918" w:rsidP="00275F3F">
      <w:pPr>
        <w:pStyle w:val="ListParagraph"/>
        <w:numPr>
          <w:ilvl w:val="0"/>
          <w:numId w:val="2"/>
        </w:numPr>
        <w:jc w:val="both"/>
        <w:rPr>
          <w:sz w:val="22"/>
        </w:rPr>
      </w:pPr>
      <w:r w:rsidRPr="005672ED">
        <w:rPr>
          <w:sz w:val="22"/>
        </w:rPr>
        <w:t xml:space="preserve">How can personal accounts become part of collective remembrance practices without being appropriated, losing their essence or being flattened?   </w:t>
      </w:r>
    </w:p>
    <w:p w14:paraId="1BCDF5CB" w14:textId="3F32103C" w:rsidR="00624783" w:rsidRPr="005672ED" w:rsidRDefault="00624783" w:rsidP="00275F3F">
      <w:pPr>
        <w:pStyle w:val="ListParagraph"/>
        <w:numPr>
          <w:ilvl w:val="0"/>
          <w:numId w:val="2"/>
        </w:numPr>
        <w:jc w:val="both"/>
        <w:rPr>
          <w:sz w:val="22"/>
        </w:rPr>
      </w:pPr>
      <w:r w:rsidRPr="005672ED">
        <w:rPr>
          <w:sz w:val="22"/>
        </w:rPr>
        <w:t xml:space="preserve">Are all </w:t>
      </w:r>
      <w:r w:rsidR="00B50F75" w:rsidRPr="005672ED">
        <w:rPr>
          <w:sz w:val="22"/>
        </w:rPr>
        <w:t>personal</w:t>
      </w:r>
      <w:r w:rsidRPr="005672ED">
        <w:rPr>
          <w:sz w:val="22"/>
        </w:rPr>
        <w:t xml:space="preserve"> accounts of the past, including those of perpetrators or of bystanders, legitimate? Should they and can they be acknowledged in all transitional settings? </w:t>
      </w:r>
    </w:p>
    <w:p w14:paraId="12372B1C" w14:textId="77777777" w:rsidR="00B22F06" w:rsidRPr="00245A39" w:rsidRDefault="00B22F06" w:rsidP="00624783">
      <w:pPr>
        <w:pStyle w:val="ListParagraph"/>
      </w:pPr>
    </w:p>
    <w:p w14:paraId="697D86F8" w14:textId="36E818E6" w:rsidR="00245A39" w:rsidRPr="006F5C6C" w:rsidRDefault="00C165FE" w:rsidP="00275F3F">
      <w:pPr>
        <w:jc w:val="both"/>
      </w:pPr>
      <w:r w:rsidRPr="00275F3F">
        <w:t>We invite papers to address one or more of these questions either from a conceptual vantage point and/or drawing on country case studies. Overall, p</w:t>
      </w:r>
      <w:r w:rsidR="00245A39" w:rsidRPr="00275F3F">
        <w:t>apers are encouraged to reflect on how memorialisation practices can be linked to accountability</w:t>
      </w:r>
      <w:r w:rsidR="00DC3485">
        <w:t>,</w:t>
      </w:r>
      <w:r w:rsidR="00275F3F">
        <w:t xml:space="preserve"> </w:t>
      </w:r>
      <w:r w:rsidR="00245A39" w:rsidRPr="00275F3F">
        <w:t>truth</w:t>
      </w:r>
      <w:r w:rsidR="00DC3485">
        <w:t xml:space="preserve"> and social justice</w:t>
      </w:r>
      <w:r w:rsidR="00245A39" w:rsidRPr="00275F3F">
        <w:t xml:space="preserve">, especially in contexts where one or the other justice priority may stand out as a </w:t>
      </w:r>
      <w:proofErr w:type="gramStart"/>
      <w:r w:rsidR="00245A39" w:rsidRPr="00275F3F">
        <w:t>par</w:t>
      </w:r>
      <w:r w:rsidR="009530E0" w:rsidRPr="00275F3F">
        <w:t>ticular driver</w:t>
      </w:r>
      <w:proofErr w:type="gramEnd"/>
      <w:r w:rsidR="009530E0" w:rsidRPr="00275F3F">
        <w:t xml:space="preserve"> in TJ processes. </w:t>
      </w:r>
    </w:p>
    <w:p w14:paraId="0FAFC1F8" w14:textId="05C96679" w:rsidR="00245A39" w:rsidRDefault="002963E0" w:rsidP="00275F3F">
      <w:pPr>
        <w:jc w:val="both"/>
      </w:pPr>
      <w:r>
        <w:t>Some papers</w:t>
      </w:r>
      <w:r w:rsidR="00C165FE">
        <w:t xml:space="preserve"> </w:t>
      </w:r>
      <w:r w:rsidR="0057047A">
        <w:t xml:space="preserve">will </w:t>
      </w:r>
      <w:r w:rsidR="00D17919">
        <w:t xml:space="preserve">be </w:t>
      </w:r>
      <w:r>
        <w:t>selected to be included</w:t>
      </w:r>
      <w:r w:rsidR="00B02EBB">
        <w:t xml:space="preserve"> in</w:t>
      </w:r>
      <w:r w:rsidR="00C165FE">
        <w:t xml:space="preserve"> an edited book collection that investigates non-judicial justice mechanisms </w:t>
      </w:r>
      <w:r w:rsidR="00275F3F">
        <w:t>such as</w:t>
      </w:r>
      <w:r w:rsidR="004D13B9">
        <w:t xml:space="preserve"> memorialisation practices </w:t>
      </w:r>
      <w:r w:rsidR="00C165FE">
        <w:t xml:space="preserve">in transition contexts. The book will be edited by Mina Rauschenbach, Julia </w:t>
      </w:r>
      <w:proofErr w:type="spellStart"/>
      <w:r w:rsidR="00C165FE">
        <w:t>Viebach</w:t>
      </w:r>
      <w:proofErr w:type="spellEnd"/>
      <w:r w:rsidR="00C165FE">
        <w:t xml:space="preserve"> and Stephan </w:t>
      </w:r>
      <w:proofErr w:type="spellStart"/>
      <w:r w:rsidR="00C165FE">
        <w:t>Parmentier</w:t>
      </w:r>
      <w:proofErr w:type="spellEnd"/>
      <w:r w:rsidR="00C165FE">
        <w:t xml:space="preserve">. </w:t>
      </w:r>
    </w:p>
    <w:p w14:paraId="37C9DD57" w14:textId="2A945AEA" w:rsidR="00C165FE" w:rsidRDefault="00393590" w:rsidP="00275F3F">
      <w:pPr>
        <w:jc w:val="both"/>
      </w:pPr>
      <w:r>
        <w:t xml:space="preserve">Please send an abstract </w:t>
      </w:r>
      <w:r w:rsidR="009D5316">
        <w:t>between</w:t>
      </w:r>
      <w:r>
        <w:t xml:space="preserve"> 500-</w:t>
      </w:r>
      <w:r w:rsidR="00C165FE">
        <w:t xml:space="preserve">600 words and a </w:t>
      </w:r>
      <w:r w:rsidR="0088094D">
        <w:t>short</w:t>
      </w:r>
      <w:r w:rsidR="00C165FE">
        <w:t xml:space="preserve"> biography</w:t>
      </w:r>
      <w:r w:rsidR="0088094D">
        <w:t xml:space="preserve"> (2-3 sentences)</w:t>
      </w:r>
      <w:r w:rsidR="00BE17E7">
        <w:t>, including your institutional affiliation</w:t>
      </w:r>
      <w:r w:rsidR="00C165FE">
        <w:t xml:space="preserve"> to </w:t>
      </w:r>
      <w:hyperlink r:id="rId5" w:history="1">
        <w:r w:rsidR="00BE17E7" w:rsidRPr="00DE67DB">
          <w:rPr>
            <w:rStyle w:val="Hyperlink"/>
          </w:rPr>
          <w:t>mina.rauschenbach@kuleuven.be</w:t>
        </w:r>
      </w:hyperlink>
      <w:r w:rsidR="00805FC7">
        <w:t xml:space="preserve">, </w:t>
      </w:r>
      <w:hyperlink r:id="rId6" w:history="1">
        <w:r w:rsidR="00275F3F">
          <w:rPr>
            <w:rStyle w:val="Hyperlink"/>
          </w:rPr>
          <w:t>j</w:t>
        </w:r>
        <w:r w:rsidR="00275F3F" w:rsidRPr="00A55D19">
          <w:rPr>
            <w:rStyle w:val="Hyperlink"/>
          </w:rPr>
          <w:t>ulia.viebach</w:t>
        </w:r>
        <w:bookmarkStart w:id="0" w:name="_Hlk485806070"/>
        <w:r w:rsidR="00275F3F" w:rsidRPr="00A55D19">
          <w:rPr>
            <w:rStyle w:val="Hyperlink"/>
          </w:rPr>
          <w:t>@</w:t>
        </w:r>
        <w:bookmarkEnd w:id="0"/>
        <w:r w:rsidR="00275F3F" w:rsidRPr="00A55D19">
          <w:rPr>
            <w:rStyle w:val="Hyperlink"/>
          </w:rPr>
          <w:t>crim.ox.ac.uk</w:t>
        </w:r>
      </w:hyperlink>
      <w:r w:rsidR="00275F3F">
        <w:t xml:space="preserve"> </w:t>
      </w:r>
      <w:r w:rsidR="00805FC7">
        <w:t xml:space="preserve">and </w:t>
      </w:r>
      <w:hyperlink r:id="rId7" w:history="1">
        <w:r w:rsidR="00A41A23" w:rsidRPr="00541DCC">
          <w:rPr>
            <w:rStyle w:val="Hyperlink"/>
          </w:rPr>
          <w:t>stephan.parmentier@kuleuven.be</w:t>
        </w:r>
      </w:hyperlink>
      <w:r w:rsidR="00805FC7">
        <w:t xml:space="preserve"> </w:t>
      </w:r>
      <w:r w:rsidR="00275F3F">
        <w:t xml:space="preserve">by </w:t>
      </w:r>
      <w:r w:rsidR="00275F3F" w:rsidRPr="00275F3F">
        <w:rPr>
          <w:b/>
        </w:rPr>
        <w:t>1</w:t>
      </w:r>
      <w:r w:rsidR="00641092">
        <w:rPr>
          <w:b/>
        </w:rPr>
        <w:t>0</w:t>
      </w:r>
      <w:r w:rsidR="00275F3F" w:rsidRPr="00275F3F">
        <w:rPr>
          <w:b/>
        </w:rPr>
        <w:t xml:space="preserve"> July 2017</w:t>
      </w:r>
      <w:r w:rsidR="00275F3F">
        <w:t>.</w:t>
      </w:r>
      <w:r w:rsidR="00F852AD">
        <w:t xml:space="preserve"> You will receive notification within </w:t>
      </w:r>
      <w:r w:rsidR="00B937E9">
        <w:t xml:space="preserve">two weeks. </w:t>
      </w:r>
    </w:p>
    <w:p w14:paraId="4E4A5A95" w14:textId="613AEA04" w:rsidR="00C165FE" w:rsidRPr="00245A39" w:rsidRDefault="00C165FE" w:rsidP="00275F3F">
      <w:pPr>
        <w:jc w:val="both"/>
      </w:pPr>
      <w:r>
        <w:t xml:space="preserve">Please note that there are no funds </w:t>
      </w:r>
      <w:r w:rsidR="00BE17E7">
        <w:t xml:space="preserve">available </w:t>
      </w:r>
      <w:r>
        <w:t xml:space="preserve">to pay for travel expenses </w:t>
      </w:r>
      <w:r w:rsidR="00BE17E7">
        <w:t xml:space="preserve">to </w:t>
      </w:r>
      <w:r>
        <w:t xml:space="preserve">and accommodation in Leuven. </w:t>
      </w:r>
      <w:r w:rsidR="00BE17E7">
        <w:t>However, r</w:t>
      </w:r>
      <w:r>
        <w:t xml:space="preserve">efreshments will be provided. </w:t>
      </w:r>
    </w:p>
    <w:p w14:paraId="64B113D2" w14:textId="5A8B11BA" w:rsidR="00E2685F" w:rsidRDefault="00BE17E7" w:rsidP="00275F3F">
      <w:pPr>
        <w:jc w:val="both"/>
      </w:pPr>
      <w:r>
        <w:t xml:space="preserve">You are also warmly invited to attend the </w:t>
      </w:r>
      <w:r w:rsidR="00560D26">
        <w:t xml:space="preserve">Distinguished </w:t>
      </w:r>
      <w:r w:rsidR="009A6651">
        <w:t xml:space="preserve">Lecture on </w:t>
      </w:r>
      <w:r>
        <w:t>Transitional Justice</w:t>
      </w:r>
      <w:r w:rsidR="00560D26">
        <w:t xml:space="preserve"> given by Yasmin </w:t>
      </w:r>
      <w:proofErr w:type="spellStart"/>
      <w:r w:rsidR="00560D26">
        <w:t>Sooka</w:t>
      </w:r>
      <w:proofErr w:type="spellEnd"/>
      <w:r w:rsidR="00560D26">
        <w:t xml:space="preserve"> (</w:t>
      </w:r>
      <w:r w:rsidR="00E56DE6" w:rsidRPr="00E56DE6">
        <w:t>C</w:t>
      </w:r>
      <w:r w:rsidR="00E56DE6">
        <w:t>hair of the C</w:t>
      </w:r>
      <w:r w:rsidR="00E56DE6" w:rsidRPr="00E56DE6">
        <w:t>ommission on Human Rights in South Sudan</w:t>
      </w:r>
      <w:r w:rsidR="00560D26">
        <w:t xml:space="preserve">) in the evening </w:t>
      </w:r>
      <w:r w:rsidR="006F5C6C">
        <w:t>of 26th</w:t>
      </w:r>
      <w:r w:rsidR="00560D26">
        <w:t xml:space="preserve"> October 2017.</w:t>
      </w:r>
    </w:p>
    <w:p w14:paraId="7671BD8A" w14:textId="5D24355D" w:rsidR="007C0A42" w:rsidRDefault="00D86CD3" w:rsidP="00DB02EA">
      <w:pPr>
        <w:jc w:val="both"/>
      </w:pPr>
      <w:r>
        <w:t>This</w:t>
      </w:r>
      <w:r w:rsidR="007C0A42">
        <w:t xml:space="preserve"> international seminar </w:t>
      </w:r>
      <w:r>
        <w:t xml:space="preserve">is co-organised by Stephan </w:t>
      </w:r>
      <w:proofErr w:type="spellStart"/>
      <w:r>
        <w:t>Parmentier</w:t>
      </w:r>
      <w:proofErr w:type="spellEnd"/>
      <w:r>
        <w:t xml:space="preserve"> (KU</w:t>
      </w:r>
      <w:r w:rsidR="00C77D42">
        <w:t xml:space="preserve"> </w:t>
      </w:r>
      <w:bookmarkStart w:id="1" w:name="_GoBack"/>
      <w:bookmarkEnd w:id="1"/>
      <w:r>
        <w:t>Leuven), Mina Rauschenbach (KU</w:t>
      </w:r>
      <w:r w:rsidR="00C77D42">
        <w:t xml:space="preserve"> </w:t>
      </w:r>
      <w:r>
        <w:t xml:space="preserve">Leuven and University of Lausanne) and Julia </w:t>
      </w:r>
      <w:proofErr w:type="spellStart"/>
      <w:r>
        <w:t>Viebach</w:t>
      </w:r>
      <w:proofErr w:type="spellEnd"/>
      <w:r>
        <w:t xml:space="preserve"> (University of Oxford)</w:t>
      </w:r>
      <w:r w:rsidR="00DB02EA" w:rsidRPr="00DB02EA">
        <w:rPr>
          <w:rFonts w:ascii="Arial" w:hAnsi="Arial" w:cs="Arial"/>
          <w:sz w:val="22"/>
        </w:rPr>
        <w:t xml:space="preserve"> </w:t>
      </w:r>
      <w:r w:rsidR="00DB02EA" w:rsidRPr="00DB02EA">
        <w:t xml:space="preserve">and </w:t>
      </w:r>
      <w:r w:rsidR="00C77D42">
        <w:t>is</w:t>
      </w:r>
      <w:r w:rsidR="00DB02EA" w:rsidRPr="00DB02EA">
        <w:t xml:space="preserve"> financial</w:t>
      </w:r>
      <w:r w:rsidR="00C77D42">
        <w:t>ly</w:t>
      </w:r>
      <w:r w:rsidR="00DB02EA" w:rsidRPr="00DB02EA">
        <w:t xml:space="preserve"> support</w:t>
      </w:r>
      <w:r w:rsidR="00C77D42">
        <w:t>ed by</w:t>
      </w:r>
      <w:r w:rsidR="00DB02EA" w:rsidRPr="00DB02EA">
        <w:t xml:space="preserve"> the Fund on Transitional Justice, University of Leuven</w:t>
      </w:r>
      <w:r>
        <w:t xml:space="preserve">. It </w:t>
      </w:r>
      <w:r w:rsidR="007C0A42">
        <w:t xml:space="preserve">is the sixth </w:t>
      </w:r>
      <w:r>
        <w:t>seminar</w:t>
      </w:r>
      <w:r w:rsidR="007C0A42">
        <w:t xml:space="preserve"> in a longer series organised since 2008 by the Research Line on Human Rights and Transitional Justice of the Leuven Institute of Criminology, Faculty of Law, KU Leuven (Belgium). Earlier editions have focused on traditional forms of transitional justice, rule of law, interdisciplinary approaches, victim reparation policies</w:t>
      </w:r>
      <w:r w:rsidR="00EC250B">
        <w:t xml:space="preserve"> as well as</w:t>
      </w:r>
      <w:r w:rsidR="007C0A42">
        <w:t xml:space="preserve"> </w:t>
      </w:r>
      <w:r w:rsidR="00EC250B">
        <w:t>truth and its linkage to the duty to remember</w:t>
      </w:r>
      <w:r w:rsidR="007C0A42">
        <w:t>, all designed to discuss cutting-edge issues in transitional justice from a global perspective.</w:t>
      </w:r>
    </w:p>
    <w:sectPr w:rsidR="007C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64D4"/>
    <w:multiLevelType w:val="hybridMultilevel"/>
    <w:tmpl w:val="8D626D36"/>
    <w:lvl w:ilvl="0" w:tplc="47AE66EA">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C4C23"/>
    <w:multiLevelType w:val="hybridMultilevel"/>
    <w:tmpl w:val="64F8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DD216B"/>
    <w:multiLevelType w:val="hybridMultilevel"/>
    <w:tmpl w:val="5C86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39"/>
    <w:rsid w:val="00003B09"/>
    <w:rsid w:val="0002543A"/>
    <w:rsid w:val="00063FA2"/>
    <w:rsid w:val="0006561A"/>
    <w:rsid w:val="0008058B"/>
    <w:rsid w:val="00081F65"/>
    <w:rsid w:val="000A0B21"/>
    <w:rsid w:val="000F0525"/>
    <w:rsid w:val="00105B8A"/>
    <w:rsid w:val="00136A68"/>
    <w:rsid w:val="00157AFE"/>
    <w:rsid w:val="00173115"/>
    <w:rsid w:val="0018314A"/>
    <w:rsid w:val="001C124F"/>
    <w:rsid w:val="001D551B"/>
    <w:rsid w:val="00206538"/>
    <w:rsid w:val="002138CA"/>
    <w:rsid w:val="00245A39"/>
    <w:rsid w:val="0026695D"/>
    <w:rsid w:val="00275F3F"/>
    <w:rsid w:val="002963E0"/>
    <w:rsid w:val="002B19F8"/>
    <w:rsid w:val="002C076F"/>
    <w:rsid w:val="002D249B"/>
    <w:rsid w:val="002D7D64"/>
    <w:rsid w:val="00314304"/>
    <w:rsid w:val="00357C39"/>
    <w:rsid w:val="0039022E"/>
    <w:rsid w:val="00393590"/>
    <w:rsid w:val="003F777A"/>
    <w:rsid w:val="00426989"/>
    <w:rsid w:val="00427524"/>
    <w:rsid w:val="004D13B9"/>
    <w:rsid w:val="00503869"/>
    <w:rsid w:val="00511465"/>
    <w:rsid w:val="00517F31"/>
    <w:rsid w:val="00535E33"/>
    <w:rsid w:val="00560D26"/>
    <w:rsid w:val="005672ED"/>
    <w:rsid w:val="0057047A"/>
    <w:rsid w:val="00590AD5"/>
    <w:rsid w:val="0059267B"/>
    <w:rsid w:val="005B63F2"/>
    <w:rsid w:val="005C0F39"/>
    <w:rsid w:val="005F1FD9"/>
    <w:rsid w:val="00606C32"/>
    <w:rsid w:val="00624783"/>
    <w:rsid w:val="00641092"/>
    <w:rsid w:val="00652B82"/>
    <w:rsid w:val="00661730"/>
    <w:rsid w:val="00663C59"/>
    <w:rsid w:val="006772FE"/>
    <w:rsid w:val="0068301F"/>
    <w:rsid w:val="006B74BB"/>
    <w:rsid w:val="006D081D"/>
    <w:rsid w:val="006F5C6C"/>
    <w:rsid w:val="007172CA"/>
    <w:rsid w:val="007240A0"/>
    <w:rsid w:val="00783365"/>
    <w:rsid w:val="00783F43"/>
    <w:rsid w:val="00795A74"/>
    <w:rsid w:val="007B1EE3"/>
    <w:rsid w:val="007C0A42"/>
    <w:rsid w:val="007E5B2E"/>
    <w:rsid w:val="00805FC7"/>
    <w:rsid w:val="008471D7"/>
    <w:rsid w:val="00854CE6"/>
    <w:rsid w:val="00871B54"/>
    <w:rsid w:val="0088094D"/>
    <w:rsid w:val="008C2169"/>
    <w:rsid w:val="009009F5"/>
    <w:rsid w:val="00912514"/>
    <w:rsid w:val="00943E03"/>
    <w:rsid w:val="009530E0"/>
    <w:rsid w:val="00961DD9"/>
    <w:rsid w:val="00997812"/>
    <w:rsid w:val="009A6651"/>
    <w:rsid w:val="009D5316"/>
    <w:rsid w:val="00A210CF"/>
    <w:rsid w:val="00A22C4D"/>
    <w:rsid w:val="00A41A23"/>
    <w:rsid w:val="00A96749"/>
    <w:rsid w:val="00AD050B"/>
    <w:rsid w:val="00AD1FB6"/>
    <w:rsid w:val="00B02EBB"/>
    <w:rsid w:val="00B22F06"/>
    <w:rsid w:val="00B43830"/>
    <w:rsid w:val="00B50F75"/>
    <w:rsid w:val="00B574AE"/>
    <w:rsid w:val="00B8661C"/>
    <w:rsid w:val="00B937E9"/>
    <w:rsid w:val="00BA7C38"/>
    <w:rsid w:val="00BD0B19"/>
    <w:rsid w:val="00BD48D0"/>
    <w:rsid w:val="00BE17E7"/>
    <w:rsid w:val="00C165FE"/>
    <w:rsid w:val="00C77D42"/>
    <w:rsid w:val="00C8138E"/>
    <w:rsid w:val="00C9403B"/>
    <w:rsid w:val="00CB4B4E"/>
    <w:rsid w:val="00CC6ACD"/>
    <w:rsid w:val="00CD4FDE"/>
    <w:rsid w:val="00D17919"/>
    <w:rsid w:val="00D26304"/>
    <w:rsid w:val="00D541F1"/>
    <w:rsid w:val="00D76D87"/>
    <w:rsid w:val="00D86CD3"/>
    <w:rsid w:val="00DA1918"/>
    <w:rsid w:val="00DB02EA"/>
    <w:rsid w:val="00DC3485"/>
    <w:rsid w:val="00DD213A"/>
    <w:rsid w:val="00DE4A7E"/>
    <w:rsid w:val="00E2685F"/>
    <w:rsid w:val="00E42B67"/>
    <w:rsid w:val="00E56DE6"/>
    <w:rsid w:val="00E75FCC"/>
    <w:rsid w:val="00E92080"/>
    <w:rsid w:val="00EB5798"/>
    <w:rsid w:val="00EC250B"/>
    <w:rsid w:val="00EE60CF"/>
    <w:rsid w:val="00EF6118"/>
    <w:rsid w:val="00F217FE"/>
    <w:rsid w:val="00F2605E"/>
    <w:rsid w:val="00F63C2D"/>
    <w:rsid w:val="00F852AD"/>
    <w:rsid w:val="00FF2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50FD7"/>
  <w15:docId w15:val="{7CD29594-FFEF-4F85-BFA8-BBE286DD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4BB"/>
    <w:rPr>
      <w:rFonts w:ascii="Times New Roman" w:hAnsi="Times New Roman"/>
      <w:sz w:val="24"/>
    </w:rPr>
  </w:style>
  <w:style w:type="paragraph" w:styleId="Heading1">
    <w:name w:val="heading 1"/>
    <w:basedOn w:val="Normal"/>
    <w:next w:val="Normal"/>
    <w:link w:val="Heading1Char"/>
    <w:uiPriority w:val="9"/>
    <w:qFormat/>
    <w:rsid w:val="006B74BB"/>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6B74BB"/>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DE4A7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BB"/>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6B74BB"/>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DE4A7E"/>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E75FCC"/>
    <w:rPr>
      <w:sz w:val="16"/>
      <w:szCs w:val="16"/>
    </w:rPr>
  </w:style>
  <w:style w:type="paragraph" w:styleId="CommentText">
    <w:name w:val="annotation text"/>
    <w:basedOn w:val="Normal"/>
    <w:link w:val="CommentTextChar"/>
    <w:uiPriority w:val="99"/>
    <w:semiHidden/>
    <w:unhideWhenUsed/>
    <w:rsid w:val="00E75FCC"/>
    <w:pPr>
      <w:spacing w:line="240" w:lineRule="auto"/>
    </w:pPr>
    <w:rPr>
      <w:sz w:val="20"/>
      <w:szCs w:val="20"/>
    </w:rPr>
  </w:style>
  <w:style w:type="character" w:customStyle="1" w:styleId="CommentTextChar">
    <w:name w:val="Comment Text Char"/>
    <w:basedOn w:val="DefaultParagraphFont"/>
    <w:link w:val="CommentText"/>
    <w:uiPriority w:val="99"/>
    <w:semiHidden/>
    <w:rsid w:val="00E75F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5FCC"/>
    <w:rPr>
      <w:b/>
      <w:bCs/>
    </w:rPr>
  </w:style>
  <w:style w:type="character" w:customStyle="1" w:styleId="CommentSubjectChar">
    <w:name w:val="Comment Subject Char"/>
    <w:basedOn w:val="CommentTextChar"/>
    <w:link w:val="CommentSubject"/>
    <w:uiPriority w:val="99"/>
    <w:semiHidden/>
    <w:rsid w:val="00E75FCC"/>
    <w:rPr>
      <w:rFonts w:ascii="Times New Roman" w:hAnsi="Times New Roman"/>
      <w:b/>
      <w:bCs/>
      <w:sz w:val="20"/>
      <w:szCs w:val="20"/>
    </w:rPr>
  </w:style>
  <w:style w:type="paragraph" w:styleId="BalloonText">
    <w:name w:val="Balloon Text"/>
    <w:basedOn w:val="Normal"/>
    <w:link w:val="BalloonTextChar"/>
    <w:uiPriority w:val="99"/>
    <w:semiHidden/>
    <w:unhideWhenUsed/>
    <w:rsid w:val="00E7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CC"/>
    <w:rPr>
      <w:rFonts w:ascii="Segoe UI" w:hAnsi="Segoe UI" w:cs="Segoe UI"/>
      <w:sz w:val="18"/>
      <w:szCs w:val="18"/>
    </w:rPr>
  </w:style>
  <w:style w:type="paragraph" w:styleId="ListParagraph">
    <w:name w:val="List Paragraph"/>
    <w:basedOn w:val="Normal"/>
    <w:uiPriority w:val="34"/>
    <w:qFormat/>
    <w:rsid w:val="00B22F06"/>
    <w:pPr>
      <w:ind w:left="720"/>
      <w:contextualSpacing/>
    </w:pPr>
  </w:style>
  <w:style w:type="character" w:styleId="Hyperlink">
    <w:name w:val="Hyperlink"/>
    <w:basedOn w:val="DefaultParagraphFont"/>
    <w:uiPriority w:val="99"/>
    <w:unhideWhenUsed/>
    <w:rsid w:val="00BE17E7"/>
    <w:rPr>
      <w:color w:val="0563C1" w:themeColor="hyperlink"/>
      <w:u w:val="single"/>
    </w:rPr>
  </w:style>
  <w:style w:type="character" w:styleId="FollowedHyperlink">
    <w:name w:val="FollowedHyperlink"/>
    <w:basedOn w:val="DefaultParagraphFont"/>
    <w:uiPriority w:val="99"/>
    <w:semiHidden/>
    <w:unhideWhenUsed/>
    <w:rsid w:val="00275F3F"/>
    <w:rPr>
      <w:color w:val="954F72" w:themeColor="followedHyperlink"/>
      <w:u w:val="single"/>
    </w:rPr>
  </w:style>
  <w:style w:type="character" w:styleId="UnresolvedMention">
    <w:name w:val="Unresolved Mention"/>
    <w:basedOn w:val="DefaultParagraphFont"/>
    <w:uiPriority w:val="99"/>
    <w:semiHidden/>
    <w:unhideWhenUsed/>
    <w:rsid w:val="00805F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parmentier@ku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viebach@crim.ox.ac.uk" TargetMode="External"/><Relationship Id="rId5" Type="http://schemas.openxmlformats.org/officeDocument/2006/relationships/hyperlink" Target="mailto:mina.rauschenbach@kuleuv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Rauschenbach</dc:creator>
  <cp:lastModifiedBy>Mina Rauschenbach</cp:lastModifiedBy>
  <cp:revision>6</cp:revision>
  <cp:lastPrinted>2017-06-21T07:53:00Z</cp:lastPrinted>
  <dcterms:created xsi:type="dcterms:W3CDTF">2017-06-21T09:19:00Z</dcterms:created>
  <dcterms:modified xsi:type="dcterms:W3CDTF">2017-06-22T09:08:00Z</dcterms:modified>
</cp:coreProperties>
</file>